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D2" w:rsidRDefault="00245DD2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</w:t>
      </w: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 wp14:anchorId="1D388B96" wp14:editId="1D4FC2A0">
            <wp:simplePos x="0" y="0"/>
            <wp:positionH relativeFrom="margin">
              <wp:align>left</wp:align>
            </wp:positionH>
            <wp:positionV relativeFrom="page">
              <wp:posOffset>499110</wp:posOffset>
            </wp:positionV>
            <wp:extent cx="4469883" cy="1219906"/>
            <wp:effectExtent l="0" t="0" r="6985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0480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” </w:t>
      </w:r>
    </w:p>
    <w:p w:rsidR="0050480D" w:rsidRDefault="00245DD2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RUNDA IV WYNIKI</w:t>
      </w:r>
      <w:bookmarkStart w:id="0" w:name="_GoBack"/>
      <w:bookmarkEnd w:id="0"/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816"/>
        <w:gridCol w:w="960"/>
      </w:tblGrid>
      <w:tr w:rsidR="0050480D" w:rsidRPr="0050480D" w:rsidTr="0050480D">
        <w:trPr>
          <w:trHeight w:val="288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Kategoria "dwójki"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IV runda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SET STAROGARD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PLIŃSKI/WIKA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SET STAROGARD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SET STAROGARD 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SET STAROGARD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liga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SN GEDANIA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BYTÓW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III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GAS GDYNIA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CHWASZCZYNO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GAS GDYNIA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CHWASZCZYNO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GAS GDYNIA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IV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BYTÓW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BYTÓW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IRYDA/SPS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ŁEBIEŃ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CHWASZCZYNO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V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GAS GDYNIA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GAS GDYNIA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BYTÓW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 KAEMKA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VI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CHWASZCZYNO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GA KAEMKA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VII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GKS STOCZNIOWIEC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JASIENIAK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DĘBOGÓRZE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VIII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MALBORK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MALBORK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MALBORK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DZIEMIANY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IX liga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SPS/IRYDA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GKS STOCZNIOWIEC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AS TREFL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GKS STOCZNIOWIEC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CHWASZCZYNO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50480D" w:rsidRPr="0050480D" w:rsidTr="0050480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IRYDA/SPS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0D" w:rsidRPr="0050480D" w:rsidRDefault="0050480D" w:rsidP="00504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80D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</w:tbl>
    <w:p w:rsidR="00245DD2" w:rsidRDefault="00245DD2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</w:p>
    <w:sectPr w:rsidR="0024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2"/>
    <w:rsid w:val="00245DD2"/>
    <w:rsid w:val="0050480D"/>
    <w:rsid w:val="00682D1A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989E"/>
  <w15:chartTrackingRefBased/>
  <w15:docId w15:val="{97CDAED1-3F6E-4ECE-87A9-3B71CB4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2023-05-04T14:56:00Z</dcterms:created>
  <dcterms:modified xsi:type="dcterms:W3CDTF">2023-05-04T14:56:00Z</dcterms:modified>
</cp:coreProperties>
</file>